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050C18" w:val="clear"/>
            <w:tcMar>
              <w:top w:type="dxa" w:w="120"/>
              <w:left w:type="dxa" w:w="200"/>
              <w:bottom w:type="dxa" w:w="120"/>
              <w:right w:type="dxa" w:w="200"/>
            </w:tcMar>
          </w:tcPr>
          <w:p>
            <w:r>
              <w:rPr>
                <w:rFonts w:ascii="Trebuchet MS" w:cs="Trebuchet MS" w:eastAsia="Trebuchet MS" w:hAnsi="Trebuchet MS"/>
                <w:b/>
                <w:bCs/>
                <w:color w:val="FFFFFF"/>
                <w:sz w:val="24"/>
                <w:szCs w:val="24"/>
              </w:rPr>
              <w:t xml:space="preserve">Vaultic Systems Group  ·  Platform Overview</w:t>
            </w:r>
          </w:p>
        </w:tc>
      </w:tr>
    </w:tbl>
    <w:p>
      <w:pPr>
        <w:spacing w:after="0" w:before="40"/>
      </w:pPr>
      <w:r>
        <w:t xml:space="preserve"/>
      </w:r>
    </w:p>
    <w:p>
      <w:pPr>
        <w:spacing w:after="40" w:before="80"/>
      </w:pPr>
      <w:r>
        <w:rPr>
          <w:rFonts w:ascii="Trebuchet MS" w:cs="Trebuchet MS" w:eastAsia="Trebuchet MS" w:hAnsi="Trebuchet MS"/>
          <w:b/>
          <w:bCs/>
          <w:color w:val="00C4D4"/>
          <w:sz w:val="28"/>
          <w:szCs w:val="28"/>
        </w:rPr>
        <w:t xml:space="preserve">The Voice Rights Platform for Entertainment</w:t>
      </w:r>
    </w:p>
    <w:p>
      <w:pPr>
        <w:spacing w:after="80" w:before="0"/>
      </w:pPr>
      <w:r>
        <w:rPr>
          <w:rFonts w:ascii="Calibri" w:cs="Calibri" w:eastAsia="Calibri" w:hAnsi="Calibri"/>
          <w:color w:val="64748B"/>
          <w:sz w:val="18"/>
          <w:szCs w:val="18"/>
        </w:rPr>
        <w:t xml:space="preserve">Vaultic Systems Group LLC  ·  Texas  ·  chip@vaulticsystemsgroup.com</w:t>
      </w:r>
    </w:p>
    <w:p>
      <w:pPr>
        <w:pBdr>
          <w:bottom w:val="single" w:color="050C18" w:sz="4" w:space="4"/>
        </w:pBdr>
        <w:spacing w:after="60" w:before="240"/>
      </w:pPr>
      <w:r>
        <w:rPr>
          <w:rFonts w:ascii="Trebuchet MS" w:cs="Trebuchet MS" w:eastAsia="Trebuchet MS" w:hAnsi="Trebuchet MS"/>
          <w:b/>
          <w:bCs/>
          <w:color w:val="050C18"/>
          <w:sz w:val="24"/>
          <w:szCs w:val="24"/>
        </w:rPr>
        <w:t xml:space="preserve">The Moment We're In</w:t>
      </w:r>
    </w:p>
    <w:p>
      <w:pPr>
        <w:spacing w:after="60" w:before="40"/>
      </w:pPr>
      <w:r>
        <w:rPr>
          <w:rFonts w:ascii="Calibri" w:cs="Calibri" w:eastAsia="Calibri" w:hAnsi="Calibri"/>
          <w:color w:val="1E293B"/>
          <w:sz w:val="21"/>
          <w:szCs w:val="21"/>
        </w:rPr>
        <w:t xml:space="preserve">Artificial intelligence has fundamentally changed what's possible in entertainment audio. Studios can now synthesize, replace, and manipulate voice with tools that are fast, affordable, and increasingly indistinguishable from the original. That capability is already being used — in post-production ADR, in dubbing, in content repurposing.</w:t>
      </w:r>
    </w:p>
    <w:p>
      <w:pPr>
        <w:spacing w:after="60" w:before="40"/>
      </w:pPr>
      <w:r>
        <w:rPr>
          <w:rFonts w:ascii="Calibri" w:cs="Calibri" w:eastAsia="Calibri" w:hAnsi="Calibri"/>
          <w:color w:val="1E293B"/>
          <w:sz w:val="21"/>
          <w:szCs w:val="21"/>
        </w:rPr>
        <w:t xml:space="preserve">The problem is not the technology. The problem is the infrastructure that should surround it.</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left w:val="none"/>
              <w:bottom w:val="none"/>
              <w:right w:val="none"/>
            </w:tcBorders>
            <w:shd w:fill="00C4D4" w:val="clear"/>
          </w:tcPr>
          <w:p/>
        </w:tc>
        <w:tc>
          <w:tcPr>
            <w:tcW w:type="dxa" w:w="9240"/>
            <w:tcBorders>
              <w:top w:val="none"/>
              <w:left w:val="none"/>
              <w:bottom w:val="none"/>
              <w:right w:val="none"/>
            </w:tcBorders>
            <w:shd w:fill="EBF8FA" w:val="clear"/>
            <w:tcMar>
              <w:top w:type="dxa" w:w="100"/>
              <w:left w:type="dxa" w:w="160"/>
              <w:bottom w:type="dxa" w:w="100"/>
              <w:right w:type="dxa" w:w="160"/>
            </w:tcMar>
          </w:tcPr>
          <w:p>
            <w:r>
              <w:rPr>
                <w:rFonts w:ascii="Calibri" w:cs="Calibri" w:eastAsia="Calibri" w:hAnsi="Calibri"/>
                <w:color w:val="1E293B"/>
                <w:sz w:val="21"/>
                <w:szCs w:val="21"/>
              </w:rPr>
              <w:t xml:space="preserve">SAG-AFTRA's 2023 strike made AI voice rights a top-tier union issue. Consent, compensation, and chain of custody for synthetic voice are now contractual requirements — and studios have no system to prove compliance.</w:t>
            </w:r>
          </w:p>
        </w:tc>
      </w:tr>
    </w:tbl>
    <w:p>
      <w:pPr>
        <w:spacing w:after="0" w:before="80"/>
      </w:pPr>
      <w:r>
        <w:t xml:space="preserve"/>
      </w:r>
    </w:p>
    <w:p>
      <w:pPr>
        <w:pBdr>
          <w:bottom w:val="single" w:color="00C4D4" w:sz="4" w:space="4"/>
        </w:pBdr>
        <w:spacing w:after="60" w:before="240"/>
      </w:pPr>
      <w:r>
        <w:rPr>
          <w:rFonts w:ascii="Trebuchet MS" w:cs="Trebuchet MS" w:eastAsia="Trebuchet MS" w:hAnsi="Trebuchet MS"/>
          <w:b/>
          <w:bCs/>
          <w:color w:val="00C4D4"/>
          <w:sz w:val="24"/>
          <w:szCs w:val="24"/>
        </w:rPr>
        <w:t xml:space="preserve">EchoPrint</w:t>
      </w:r>
    </w:p>
    <w:p>
      <w:pPr>
        <w:spacing w:after="80" w:before="0"/>
      </w:pPr>
      <w:r>
        <w:rPr>
          <w:rFonts w:ascii="Calibri" w:cs="Calibri" w:eastAsia="Calibri" w:hAnsi="Calibri"/>
          <w:color w:val="334155"/>
          <w:sz w:val="22"/>
          <w:szCs w:val="22"/>
        </w:rPr>
        <w:t xml:space="preserve">Biometric Voice Consent &amp; Identity on the XRP Ledger</w:t>
      </w:r>
    </w:p>
    <w:p>
      <w:pPr>
        <w:spacing w:after="60" w:before="40"/>
      </w:pPr>
      <w:r>
        <w:rPr>
          <w:rFonts w:ascii="Calibri" w:cs="Calibri" w:eastAsia="Calibri" w:hAnsi="Calibri"/>
          <w:color w:val="1E293B"/>
          <w:sz w:val="21"/>
          <w:szCs w:val="21"/>
        </w:rPr>
        <w:t xml:space="preserve">EchoPrint is the flagship product of Vaultic Systems Group. It gives actors a cryptographic record of their voice consent — stored permanently and immutably on the XRP Ledger — before any AI processing happens. Studios get a clean chain of custody. Actors get sovereignty over their biometric identity.</w:t>
      </w:r>
    </w:p>
    <w:p>
      <w:pPr>
        <w:spacing w:after="0" w:before="60"/>
      </w:pPr>
      <w:r>
        <w:t xml:space="preserve"/>
      </w:r>
    </w:p>
    <w:p>
      <w:pPr>
        <w:spacing w:after="40" w:before="160"/>
      </w:pPr>
      <w:r>
        <w:rPr>
          <w:rFonts w:ascii="Trebuchet MS" w:cs="Trebuchet MS" w:eastAsia="Trebuchet MS" w:hAnsi="Trebuchet MS"/>
          <w:b/>
          <w:bCs/>
          <w:color w:val="00C4D4"/>
          <w:sz w:val="20"/>
          <w:szCs w:val="20"/>
        </w:rPr>
        <w:t xml:space="preserve">How It Works</w:t>
      </w:r>
    </w:p>
    <w:p>
      <w:pPr>
        <w:pStyle w:val="ListParagraph"/>
        <w:numPr>
          <w:ilvl w:val="0"/>
          <w:numId w:val="2"/>
        </w:numPr>
        <w:spacing w:after="30" w:before="30"/>
      </w:pPr>
      <w:r>
        <w:rPr>
          <w:rFonts w:ascii="Calibri" w:cs="Calibri" w:eastAsia="Calibri" w:hAnsi="Calibri"/>
          <w:color w:val="1E293B"/>
          <w:sz w:val="21"/>
          <w:szCs w:val="21"/>
        </w:rPr>
        <w:t xml:space="preserve">ENROLL — Actor speaks a defined phrase. Voice biometric is captured and cryptographically hashed.</w:t>
      </w:r>
    </w:p>
    <w:p>
      <w:pPr>
        <w:pStyle w:val="ListParagraph"/>
        <w:numPr>
          <w:ilvl w:val="0"/>
          <w:numId w:val="2"/>
        </w:numPr>
        <w:spacing w:after="30" w:before="30"/>
      </w:pPr>
      <w:r>
        <w:rPr>
          <w:rFonts w:ascii="Calibri" w:cs="Calibri" w:eastAsia="Calibri" w:hAnsi="Calibri"/>
          <w:color w:val="1E293B"/>
          <w:sz w:val="21"/>
          <w:szCs w:val="21"/>
        </w:rPr>
        <w:t xml:space="preserve">REGISTER — The hash is written to the XRP Ledger as a permanent, timestamped consent record.</w:t>
      </w:r>
    </w:p>
    <w:p>
      <w:pPr>
        <w:pStyle w:val="ListParagraph"/>
        <w:numPr>
          <w:ilvl w:val="0"/>
          <w:numId w:val="2"/>
        </w:numPr>
        <w:spacing w:after="30" w:before="30"/>
      </w:pPr>
      <w:r>
        <w:rPr>
          <w:rFonts w:ascii="Calibri" w:cs="Calibri" w:eastAsia="Calibri" w:hAnsi="Calibri"/>
          <w:color w:val="1E293B"/>
          <w:sz w:val="21"/>
          <w:szCs w:val="21"/>
        </w:rPr>
        <w:t xml:space="preserve">LICENSE — Any AI session request must reference the actor's XRPL consent token. No token, no authorization.</w:t>
      </w:r>
    </w:p>
    <w:p>
      <w:pPr>
        <w:pStyle w:val="ListParagraph"/>
        <w:numPr>
          <w:ilvl w:val="0"/>
          <w:numId w:val="2"/>
        </w:numPr>
        <w:spacing w:after="30" w:before="30"/>
      </w:pPr>
      <w:r>
        <w:rPr>
          <w:rFonts w:ascii="Calibri" w:cs="Calibri" w:eastAsia="Calibri" w:hAnsi="Calibri"/>
          <w:color w:val="1E293B"/>
          <w:sz w:val="21"/>
          <w:szCs w:val="21"/>
        </w:rPr>
        <w:t xml:space="preserve">VERIFY — Any AI-generated output can be traced back to the original on-chain consent record.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left w:val="none"/>
              <w:bottom w:val="none"/>
              <w:right w:val="none"/>
            </w:tcBorders>
            <w:shd w:fill="10B981" w:val="clear"/>
          </w:tcPr>
          <w:p/>
        </w:tc>
        <w:tc>
          <w:tcPr>
            <w:tcW w:type="dxa" w:w="9240"/>
            <w:tcBorders>
              <w:top w:val="none"/>
              <w:left w:val="none"/>
              <w:bottom w:val="none"/>
              <w:right w:val="none"/>
            </w:tcBorders>
            <w:shd w:fill="ECFDF5" w:val="clear"/>
            <w:tcMar>
              <w:top w:type="dxa" w:w="100"/>
              <w:left w:type="dxa" w:w="160"/>
              <w:bottom w:type="dxa" w:w="100"/>
              <w:right w:type="dxa" w:w="160"/>
            </w:tcMar>
          </w:tcPr>
          <w:p>
            <w:r>
              <w:rPr>
                <w:rFonts w:ascii="Calibri" w:cs="Calibri" w:eastAsia="Calibri" w:hAnsi="Calibri"/>
                <w:color w:val="1E293B"/>
                <w:sz w:val="21"/>
                <w:szCs w:val="21"/>
              </w:rPr>
              <w:t xml:space="preserve">Proof of concept is live on the XRPL Testnet. Real on-chain transaction recorded. Working Node.js implementation available for demonstration.</w:t>
            </w:r>
          </w:p>
        </w:tc>
      </w:tr>
    </w:tbl>
    <w:p>
      <w:pPr>
        <w:spacing w:after="0" w:before="80"/>
      </w:pPr>
      <w:r>
        <w:t xml:space="preserve"/>
      </w:r>
    </w:p>
    <w:p>
      <w:pPr>
        <w:pBdr>
          <w:bottom w:val="single" w:color="050C18" w:sz="4" w:space="4"/>
        </w:pBdr>
        <w:spacing w:after="60" w:before="240"/>
      </w:pPr>
      <w:r>
        <w:rPr>
          <w:rFonts w:ascii="Trebuchet MS" w:cs="Trebuchet MS" w:eastAsia="Trebuchet MS" w:hAnsi="Trebuchet MS"/>
          <w:b/>
          <w:bCs/>
          <w:color w:val="050C18"/>
          <w:sz w:val="24"/>
          <w:szCs w:val="24"/>
        </w:rPr>
        <w:t xml:space="preserve">The Full Platform</w:t>
      </w:r>
    </w:p>
    <w:p>
      <w:pPr>
        <w:spacing w:after="60" w:before="40"/>
      </w:pPr>
      <w:r>
        <w:rPr>
          <w:rFonts w:ascii="Calibri" w:cs="Calibri" w:eastAsia="Calibri" w:hAnsi="Calibri"/>
          <w:color w:val="1E293B"/>
          <w:sz w:val="21"/>
          <w:szCs w:val="21"/>
        </w:rPr>
        <w:t xml:space="preserve">EchoPrint is the identity and consent layer that powers two additional products in the Vaultic Systems Group platform.</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BF8FA" w:val="clear"/>
            <w:tcMar>
              <w:top w:type="dxa" w:w="100"/>
              <w:left w:type="dxa" w:w="160"/>
              <w:bottom w:type="dxa" w:w="100"/>
              <w:right w:type="dxa" w:w="160"/>
            </w:tcMar>
            <w:vAlign w:val="top"/>
          </w:tcPr>
          <w:p>
            <w:pPr>
              <w:spacing w:after="60"/>
            </w:pPr>
            <w:r>
              <w:rPr>
                <w:rFonts w:ascii="Trebuchet MS" w:cs="Trebuchet MS" w:eastAsia="Trebuchet MS" w:hAnsi="Trebuchet MS"/>
                <w:b/>
                <w:bCs/>
                <w:color w:val="050C18"/>
                <w:sz w:val="22"/>
                <w:szCs w:val="22"/>
              </w:rPr>
              <w:t xml:space="preserve">PostMind — DAW Co-Pilot &amp; AI Post-Production Suite</w:t>
            </w:r>
          </w:p>
          <w:p>
            <w:pPr>
              <w:spacing w:after="0"/>
            </w:pPr>
            <w:r>
              <w:rPr>
                <w:rFonts w:ascii="Calibri" w:cs="Calibri" w:eastAsia="Calibri" w:hAnsi="Calibri"/>
                <w:color w:val="334155"/>
                <w:sz w:val="19"/>
                <w:szCs w:val="19"/>
              </w:rPr>
              <w:t xml:space="preserve">A professional AI co-pilot for post-production audio — built into Pro Tools and purpose-built for re-recording mixers, dialogue editors, and supervising sound editors in television, film, and streaming. Four named AI agents (PostSupervisor, Editor, Mixer, ADR Director) handle session import, dialogue editorial, mix automation, loudness compliance, Dolby Atmos delivery, and remote ADR direction. When AI-generated voice is used in a PostMind session, EchoPrint consent is verified and every usage event is logged on-chain automatically.</w:t>
            </w:r>
          </w:p>
        </w:tc>
        <w:tc>
          <w:tcPr>
            <w:tcW w:type="dxa" w:w="4680"/>
            <w:tcBorders>
              <w:top w:val="single" w:color="DDDDDD" w:sz="1"/>
              <w:left w:val="single" w:color="DDDDDD" w:sz="1"/>
              <w:bottom w:val="single" w:color="DDDDDD" w:sz="1"/>
              <w:right w:val="single" w:color="DDDDDD" w:sz="1"/>
            </w:tcBorders>
            <w:shd w:fill="F3EFFE" w:val="clear"/>
            <w:tcMar>
              <w:top w:type="dxa" w:w="100"/>
              <w:left w:type="dxa" w:w="160"/>
              <w:bottom w:type="dxa" w:w="100"/>
              <w:right w:type="dxa" w:w="160"/>
            </w:tcMar>
            <w:vAlign w:val="top"/>
          </w:tcPr>
          <w:p>
            <w:pPr>
              <w:spacing w:after="60"/>
            </w:pPr>
            <w:r>
              <w:rPr>
                <w:rFonts w:ascii="Trebuchet MS" w:cs="Trebuchet MS" w:eastAsia="Trebuchet MS" w:hAnsi="Trebuchet MS"/>
                <w:b/>
                <w:bCs/>
                <w:color w:val="050C18"/>
                <w:sz w:val="22"/>
                <w:szCs w:val="22"/>
              </w:rPr>
              <w:t xml:space="preserve">ShowMind — Live Production AI</w:t>
            </w:r>
          </w:p>
          <w:p>
            <w:pPr>
              <w:spacing w:after="0"/>
            </w:pPr>
            <w:r>
              <w:rPr>
                <w:rFonts w:ascii="Calibri" w:cs="Calibri" w:eastAsia="Calibri" w:hAnsi="Calibri"/>
                <w:color w:val="334155"/>
                <w:sz w:val="19"/>
                <w:szCs w:val="19"/>
              </w:rPr>
              <w:t xml:space="preserve">AI-powered audio intelligence for live events and broadcasting. Real-time audio intelligence, solo operator tools, and broadcast team assistance — built on the same biometric sovereignty architecture as EchoPrint.</w:t>
            </w:r>
          </w:p>
        </w:tc>
      </w:tr>
    </w:tbl>
    <w:p>
      <w:pPr>
        <w:spacing w:after="0" w:before="80"/>
      </w:pPr>
      <w:r>
        <w:t xml:space="preserve"/>
      </w:r>
    </w:p>
    <w:p>
      <w:pPr>
        <w:spacing w:after="40" w:before="160"/>
      </w:pPr>
      <w:r>
        <w:rPr>
          <w:rFonts w:ascii="Trebuchet MS" w:cs="Trebuchet MS" w:eastAsia="Trebuchet MS" w:hAnsi="Trebuchet MS"/>
          <w:b/>
          <w:bCs/>
          <w:color w:val="7C3AED"/>
          <w:sz w:val="20"/>
          <w:szCs w:val="20"/>
        </w:rPr>
        <w:t xml:space="preserve">Platform Architecture</w:t>
      </w:r>
    </w:p>
    <w:p>
      <w:pPr>
        <w:spacing w:after="60" w:before="40"/>
      </w:pPr>
      <w:r>
        <w:rPr>
          <w:rFonts w:ascii="Calibri" w:cs="Calibri" w:eastAsia="Calibri" w:hAnsi="Calibri"/>
          <w:color w:val="1E293B"/>
          <w:sz w:val="21"/>
          <w:szCs w:val="21"/>
        </w:rPr>
        <w:t xml:space="preserve">EchoPrint (Identity Layer)  →  PostMind (Post-Production Layer)  →  ShowMind (Live Layer)</w:t>
      </w:r>
    </w:p>
    <w:p>
      <w:pPr>
        <w:spacing w:after="60" w:before="40"/>
      </w:pPr>
      <w:r>
        <w:rPr>
          <w:rFonts w:ascii="Calibri" w:cs="Calibri" w:eastAsia="Calibri" w:hAnsi="Calibri"/>
          <w:color w:val="1E293B"/>
          <w:sz w:val="21"/>
          <w:szCs w:val="21"/>
        </w:rPr>
        <w:t xml:space="preserve">One consent record. One identity. Traceable across every product, every session, every use.</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left w:val="none"/>
              <w:bottom w:val="none"/>
              <w:right w:val="none"/>
            </w:tcBorders>
            <w:shd w:fill="7C3AED" w:val="clear"/>
          </w:tcPr>
          <w:p/>
        </w:tc>
        <w:tc>
          <w:tcPr>
            <w:tcW w:type="dxa" w:w="9240"/>
            <w:tcBorders>
              <w:top w:val="none"/>
              <w:left w:val="none"/>
              <w:bottom w:val="none"/>
              <w:right w:val="none"/>
            </w:tcBorders>
            <w:shd w:fill="F3EFFE" w:val="clear"/>
            <w:tcMar>
              <w:top w:type="dxa" w:w="100"/>
              <w:left w:type="dxa" w:w="160"/>
              <w:bottom w:type="dxa" w:w="100"/>
              <w:right w:type="dxa" w:w="160"/>
            </w:tcMar>
          </w:tcPr>
          <w:p>
            <w:r>
              <w:rPr>
                <w:rFonts w:ascii="Calibri" w:cs="Calibri" w:eastAsia="Calibri" w:hAnsi="Calibri"/>
                <w:color w:val="1E293B"/>
                <w:sz w:val="21"/>
                <w:szCs w:val="21"/>
              </w:rPr>
              <w:t xml:space="preserve">Vaultic ISO is an idle capital activation platform — the financial rail beneath the Vaultic Ecosystem. Live event venue deposits, real estate security deposits, production bonds, payroll floats, insurance premium float: dead capital earns nothing while it waits. Vaultic ISO activates it through a regulated yield engine on XRPL with RLUSD settlement and 3–5 second finality. Six independently licensable modules serve entertainment, real estate, finance, and beyond. In development.</w:t>
            </w:r>
          </w:p>
        </w:tc>
      </w:tr>
    </w:tbl>
    <w:p>
      <w:pPr>
        <w:spacing w:after="0" w:before="80"/>
      </w:pPr>
      <w:r>
        <w:t xml:space="preserve"/>
      </w:r>
    </w:p>
    <w:p>
      <w:pPr>
        <w:pBdr>
          <w:bottom w:val="single" w:color="050C18" w:sz="4" w:space="4"/>
        </w:pBdr>
        <w:spacing w:after="60" w:before="240"/>
      </w:pPr>
      <w:r>
        <w:rPr>
          <w:rFonts w:ascii="Trebuchet MS" w:cs="Trebuchet MS" w:eastAsia="Trebuchet MS" w:hAnsi="Trebuchet MS"/>
          <w:b/>
          <w:bCs/>
          <w:color w:val="050C18"/>
          <w:sz w:val="24"/>
          <w:szCs w:val="24"/>
        </w:rPr>
        <w:t xml:space="preserve">Why the XRP Ledger</w:t>
      </w:r>
    </w:p>
    <w:p>
      <w:pPr>
        <w:pStyle w:val="ListParagraph"/>
        <w:numPr>
          <w:ilvl w:val="0"/>
          <w:numId w:val="2"/>
        </w:numPr>
        <w:spacing w:after="30" w:before="30"/>
      </w:pPr>
      <w:r>
        <w:rPr>
          <w:rFonts w:ascii="Calibri" w:cs="Calibri" w:eastAsia="Calibri" w:hAnsi="Calibri"/>
          <w:color w:val="1E293B"/>
          <w:sz w:val="21"/>
          <w:szCs w:val="21"/>
        </w:rPr>
        <w:t xml:space="preserve">Speed — Sub-5 second transaction finality. Consent records are on-chain almost instantly.</w:t>
      </w:r>
    </w:p>
    <w:p>
      <w:pPr>
        <w:pStyle w:val="ListParagraph"/>
        <w:numPr>
          <w:ilvl w:val="0"/>
          <w:numId w:val="2"/>
        </w:numPr>
        <w:spacing w:after="30" w:before="30"/>
      </w:pPr>
      <w:r>
        <w:rPr>
          <w:rFonts w:ascii="Calibri" w:cs="Calibri" w:eastAsia="Calibri" w:hAnsi="Calibri"/>
          <w:color w:val="1E293B"/>
          <w:sz w:val="21"/>
          <w:szCs w:val="21"/>
        </w:rPr>
        <w:t xml:space="preserve">Cost — Transaction fees under $0.001. Micropayment-scale economics work at ADR session volume.</w:t>
      </w:r>
    </w:p>
    <w:p>
      <w:pPr>
        <w:pStyle w:val="ListParagraph"/>
        <w:numPr>
          <w:ilvl w:val="0"/>
          <w:numId w:val="2"/>
        </w:numPr>
        <w:spacing w:after="30" w:before="30"/>
      </w:pPr>
      <w:r>
        <w:rPr>
          <w:rFonts w:ascii="Calibri" w:cs="Calibri" w:eastAsia="Calibri" w:hAnsi="Calibri"/>
          <w:color w:val="1E293B"/>
          <w:sz w:val="21"/>
          <w:szCs w:val="21"/>
        </w:rPr>
        <w:t xml:space="preserve">Identity standards — XRPL's native DID and NFT infrastructure is purpose-built for biometric identity use cases.</w:t>
      </w:r>
    </w:p>
    <w:p>
      <w:pPr>
        <w:pStyle w:val="ListParagraph"/>
        <w:numPr>
          <w:ilvl w:val="0"/>
          <w:numId w:val="2"/>
        </w:numPr>
        <w:spacing w:after="30" w:before="30"/>
      </w:pPr>
      <w:r>
        <w:rPr>
          <w:rFonts w:ascii="Calibri" w:cs="Calibri" w:eastAsia="Calibri" w:hAnsi="Calibri"/>
          <w:color w:val="1E293B"/>
          <w:sz w:val="21"/>
          <w:szCs w:val="21"/>
        </w:rPr>
        <w:t xml:space="preserve">Reliability — 10+ years of uninterrupted uptime. Enterprise-grade infrastructure already in production.</w:t>
      </w:r>
    </w:p>
    <w:p>
      <w:pPr>
        <w:spacing w:after="0" w:before="80"/>
      </w:pPr>
      <w:r>
        <w:t xml:space="preserve"/>
      </w:r>
    </w:p>
    <w:p>
      <w:pPr>
        <w:pBdr>
          <w:bottom w:val="single" w:color="050C18" w:sz="4" w:space="4"/>
        </w:pBdr>
        <w:spacing w:after="60" w:before="240"/>
      </w:pPr>
      <w:r>
        <w:rPr>
          <w:rFonts w:ascii="Trebuchet MS" w:cs="Trebuchet MS" w:eastAsia="Trebuchet MS" w:hAnsi="Trebuchet MS"/>
          <w:b/>
          <w:bCs/>
          <w:color w:val="050C18"/>
          <w:sz w:val="24"/>
          <w:szCs w:val="24"/>
        </w:rPr>
        <w:t xml:space="preserve">Where We Are Today</w:t>
      </w:r>
    </w:p>
    <w:p>
      <w:pPr>
        <w:pStyle w:val="ListParagraph"/>
        <w:numPr>
          <w:ilvl w:val="0"/>
          <w:numId w:val="2"/>
        </w:numPr>
        <w:spacing w:after="30" w:before="30"/>
      </w:pPr>
      <w:r>
        <w:rPr>
          <w:rFonts w:ascii="Calibri" w:cs="Calibri" w:eastAsia="Calibri" w:hAnsi="Calibri"/>
          <w:color w:val="1E293B"/>
          <w:sz w:val="21"/>
          <w:szCs w:val="21"/>
        </w:rPr>
        <w:t xml:space="preserve">Working XRPL Testnet proof-of-concept — real on-chain transaction, live for demonstration</w:t>
      </w:r>
    </w:p>
    <w:p>
      <w:pPr>
        <w:pStyle w:val="ListParagraph"/>
        <w:numPr>
          <w:ilvl w:val="0"/>
          <w:numId w:val="2"/>
        </w:numPr>
        <w:spacing w:after="30" w:before="30"/>
      </w:pPr>
      <w:r>
        <w:rPr>
          <w:rFonts w:ascii="Calibri" w:cs="Calibri" w:eastAsia="Calibri" w:hAnsi="Calibri"/>
          <w:color w:val="1E293B"/>
          <w:sz w:val="21"/>
          <w:szCs w:val="21"/>
        </w:rPr>
        <w:t xml:space="preserve">XRPL Foundation grant application in final preparation — $100K request, targeting Spring 2026 cycle</w:t>
      </w:r>
    </w:p>
    <w:p>
      <w:pPr>
        <w:pStyle w:val="ListParagraph"/>
        <w:numPr>
          <w:ilvl w:val="0"/>
          <w:numId w:val="2"/>
        </w:numPr>
        <w:spacing w:after="30" w:before="30"/>
      </w:pPr>
      <w:r>
        <w:rPr>
          <w:rFonts w:ascii="Calibri" w:cs="Calibri" w:eastAsia="Calibri" w:hAnsi="Calibri"/>
          <w:color w:val="1E293B"/>
          <w:sz w:val="21"/>
          <w:szCs w:val="21"/>
        </w:rPr>
        <w:t xml:space="preserve">Patent disclosure drafted — 4 biometric embodiments, 12 draft claims (provisional filing in progress)</w:t>
      </w:r>
    </w:p>
    <w:p>
      <w:pPr>
        <w:pStyle w:val="ListParagraph"/>
        <w:numPr>
          <w:ilvl w:val="0"/>
          <w:numId w:val="2"/>
        </w:numPr>
        <w:spacing w:after="30" w:before="30"/>
      </w:pPr>
      <w:r>
        <w:rPr>
          <w:rFonts w:ascii="Calibri" w:cs="Calibri" w:eastAsia="Calibri" w:hAnsi="Calibri"/>
          <w:color w:val="1E293B"/>
          <w:sz w:val="21"/>
          <w:szCs w:val="21"/>
        </w:rPr>
        <w:t xml:space="preserve">Texas LLC filing in progress — Vaultic Systems Group LLC</w:t>
      </w:r>
    </w:p>
    <w:p>
      <w:pPr>
        <w:pStyle w:val="ListParagraph"/>
        <w:numPr>
          <w:ilvl w:val="0"/>
          <w:numId w:val="2"/>
        </w:numPr>
        <w:spacing w:after="30" w:before="30"/>
      </w:pPr>
      <w:r>
        <w:rPr>
          <w:rFonts w:ascii="Calibri" w:cs="Calibri" w:eastAsia="Calibri" w:hAnsi="Calibri"/>
          <w:color w:val="1E293B"/>
          <w:sz w:val="21"/>
          <w:szCs w:val="21"/>
        </w:rPr>
        <w:t xml:space="preserve">Advisory board forming — Hollywood post-production professionals engaged</w:t>
      </w:r>
    </w:p>
    <w:p>
      <w:pPr>
        <w:spacing w:after="0" w:before="80"/>
      </w:pPr>
      <w:r>
        <w:t xml:space="preserve"/>
      </w:r>
    </w:p>
    <w:p>
      <w:pPr>
        <w:pBdr>
          <w:bottom w:val="single" w:color="050C18" w:sz="4" w:space="4"/>
        </w:pBdr>
        <w:spacing w:after="60" w:before="240"/>
      </w:pPr>
      <w:r>
        <w:rPr>
          <w:rFonts w:ascii="Trebuchet MS" w:cs="Trebuchet MS" w:eastAsia="Trebuchet MS" w:hAnsi="Trebuchet MS"/>
          <w:b/>
          <w:bCs/>
          <w:color w:val="050C18"/>
          <w:sz w:val="24"/>
          <w:szCs w:val="24"/>
        </w:rPr>
        <w:t xml:space="preserve">The Team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DDD" w:sz="1"/>
              <w:left w:val="single" w:color="DDDDDD" w:sz="1"/>
              <w:bottom w:val="single" w:color="DDDDDD" w:sz="1"/>
              <w:right w:val="single" w:color="DDDDDD" w:sz="1"/>
            </w:tcBorders>
            <w:shd w:fill="EBF8FA" w:val="clear"/>
            <w:tcMar>
              <w:top w:type="dxa" w:w="100"/>
              <w:left w:type="dxa" w:w="160"/>
              <w:bottom w:type="dxa" w:w="100"/>
              <w:right w:type="dxa" w:w="160"/>
            </w:tcMar>
            <w:vAlign w:val="top"/>
          </w:tcPr>
          <w:p>
            <w:pPr>
              <w:spacing w:after="60"/>
            </w:pPr>
            <w:r>
              <w:rPr>
                <w:rFonts w:ascii="Trebuchet MS" w:cs="Trebuchet MS" w:eastAsia="Trebuchet MS" w:hAnsi="Trebuchet MS"/>
                <w:b/>
                <w:bCs/>
                <w:color w:val="050C18"/>
                <w:sz w:val="22"/>
                <w:szCs w:val="22"/>
              </w:rPr>
              <w:t xml:space="preserve">Chip Mullaney — Founder &amp; CEO</w:t>
            </w:r>
          </w:p>
          <w:p>
            <w:pPr>
              <w:spacing w:after="0"/>
            </w:pPr>
            <w:r>
              <w:rPr>
                <w:rFonts w:ascii="Calibri" w:cs="Calibri" w:eastAsia="Calibri" w:hAnsi="Calibri"/>
                <w:color w:val="334155"/>
                <w:sz w:val="19"/>
                <w:szCs w:val="19"/>
              </w:rPr>
              <w:t xml:space="preserve">30+ years in live production and post-production audio. Built audio systems for major live events and broadcasts. Relocating to Texas to build the company full-time. Deep knowledge of the industry problems EchoPrint solves.</w:t>
            </w:r>
          </w:p>
        </w:tc>
        <w:tc>
          <w:tcPr>
            <w:tcW w:type="dxa" w:w="4680"/>
            <w:tcBorders>
              <w:top w:val="single" w:color="DDDDDD" w:sz="1"/>
              <w:left w:val="single" w:color="DDDDDD" w:sz="1"/>
              <w:bottom w:val="single" w:color="DDDDDD" w:sz="1"/>
              <w:right w:val="single" w:color="DDDDDD" w:sz="1"/>
            </w:tcBorders>
            <w:shd w:fill="FEF9EC" w:val="clear"/>
            <w:tcMar>
              <w:top w:type="dxa" w:w="100"/>
              <w:left w:type="dxa" w:w="160"/>
              <w:bottom w:type="dxa" w:w="100"/>
              <w:right w:type="dxa" w:w="160"/>
            </w:tcMar>
            <w:vAlign w:val="top"/>
          </w:tcPr>
          <w:p>
            <w:pPr>
              <w:spacing w:after="60"/>
            </w:pPr>
            <w:r>
              <w:rPr>
                <w:rFonts w:ascii="Trebuchet MS" w:cs="Trebuchet MS" w:eastAsia="Trebuchet MS" w:hAnsi="Trebuchet MS"/>
                <w:b/>
                <w:bCs/>
                <w:color w:val="050C18"/>
                <w:sz w:val="22"/>
                <w:szCs w:val="22"/>
              </w:rPr>
              <w:t xml:space="preserve">Advisory Board</w:t>
            </w:r>
          </w:p>
          <w:p>
            <w:pPr>
              <w:spacing w:after="0"/>
            </w:pPr>
            <w:r>
              <w:rPr>
                <w:rFonts w:ascii="Calibri" w:cs="Calibri" w:eastAsia="Calibri" w:hAnsi="Calibri"/>
                <w:color w:val="334155"/>
                <w:sz w:val="19"/>
                <w:szCs w:val="19"/>
              </w:rPr>
              <w:t xml:space="preserve">Industry professionals from Hollywood post-production and entertainment technology are currently in active discussions. Advisory board forming — announcements to follow.</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none"/>
              <w:bottom w:val="none"/>
              <w:right w:val="none"/>
            </w:tcBorders>
            <w:shd w:fill="7C3AED" w:val="clear"/>
            <w:tcMar>
              <w:top w:type="dxa" w:w="120"/>
              <w:left w:type="dxa" w:w="200"/>
              <w:bottom w:type="dxa" w:w="120"/>
              <w:right w:type="dxa" w:w="200"/>
            </w:tcMar>
          </w:tcPr>
          <w:p>
            <w:r>
              <w:rPr>
                <w:rFonts w:ascii="Trebuchet MS" w:cs="Trebuchet MS" w:eastAsia="Trebuchet MS" w:hAnsi="Trebuchet MS"/>
                <w:b/>
                <w:bCs/>
                <w:color w:val="FFFFFF"/>
                <w:sz w:val="24"/>
                <w:szCs w:val="24"/>
              </w:rPr>
              <w:t xml:space="preserve">How You Can Be Involved</w:t>
            </w:r>
          </w:p>
        </w:tc>
      </w:tr>
    </w:tbl>
    <w:p>
      <w:pPr>
        <w:spacing w:after="0" w:before="60"/>
      </w:pPr>
      <w:r>
        <w:t xml:space="preserve"/>
      </w:r>
    </w:p>
    <w:p>
      <w:pPr>
        <w:pStyle w:val="ListParagraph"/>
        <w:numPr>
          <w:ilvl w:val="0"/>
          <w:numId w:val="2"/>
        </w:numPr>
        <w:spacing w:after="30" w:before="30"/>
      </w:pPr>
      <w:r>
        <w:rPr>
          <w:rFonts w:ascii="Calibri" w:cs="Calibri" w:eastAsia="Calibri" w:hAnsi="Calibri"/>
          <w:color w:val="1E293B"/>
          <w:sz w:val="21"/>
          <w:szCs w:val="21"/>
        </w:rPr>
        <w:t xml:space="preserve">Advisor — Lend your expertise and industry credibility to help us build something the industry trusts.</w:t>
      </w:r>
    </w:p>
    <w:p>
      <w:pPr>
        <w:pStyle w:val="ListParagraph"/>
        <w:numPr>
          <w:ilvl w:val="0"/>
          <w:numId w:val="2"/>
        </w:numPr>
        <w:spacing w:after="30" w:before="30"/>
      </w:pPr>
      <w:r>
        <w:rPr>
          <w:rFonts w:ascii="Calibri" w:cs="Calibri" w:eastAsia="Calibri" w:hAnsi="Calibri"/>
          <w:color w:val="1E293B"/>
          <w:sz w:val="21"/>
          <w:szCs w:val="21"/>
        </w:rPr>
        <w:t xml:space="preserve">Pilot Partner — Be the first studio or post house to use EchoPrint. Shape the product from the ground up.</w:t>
      </w:r>
    </w:p>
    <w:p>
      <w:pPr>
        <w:pStyle w:val="ListParagraph"/>
        <w:numPr>
          <w:ilvl w:val="0"/>
          <w:numId w:val="2"/>
        </w:numPr>
        <w:spacing w:after="30" w:before="30"/>
      </w:pPr>
      <w:r>
        <w:rPr>
          <w:rFonts w:ascii="Calibri" w:cs="Calibri" w:eastAsia="Calibri" w:hAnsi="Calibri"/>
          <w:color w:val="1E293B"/>
          <w:sz w:val="21"/>
          <w:szCs w:val="21"/>
        </w:rPr>
        <w:t xml:space="preserve">Connector — Introduce us to post houses, studios, and decision-makers who need this today.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
        <w:gridCol w:w="9240"/>
      </w:tblGrid>
      <w:tr>
        <w:tc>
          <w:tcPr>
            <w:tcW w:type="dxa" w:w="120"/>
            <w:tcBorders>
              <w:top w:val="none"/>
              <w:left w:val="none"/>
              <w:bottom w:val="none"/>
              <w:right w:val="none"/>
            </w:tcBorders>
            <w:shd w:fill="00C4D4" w:val="clear"/>
          </w:tcPr>
          <w:p/>
        </w:tc>
        <w:tc>
          <w:tcPr>
            <w:tcW w:type="dxa" w:w="9240"/>
            <w:tcBorders>
              <w:top w:val="none"/>
              <w:left w:val="none"/>
              <w:bottom w:val="none"/>
              <w:right w:val="none"/>
            </w:tcBorders>
            <w:shd w:fill="EBF8FA" w:val="clear"/>
            <w:tcMar>
              <w:top w:type="dxa" w:w="100"/>
              <w:left w:type="dxa" w:w="160"/>
              <w:bottom w:type="dxa" w:w="100"/>
              <w:right w:type="dxa" w:w="160"/>
            </w:tcMar>
          </w:tcPr>
          <w:p>
            <w:r>
              <w:rPr>
                <w:rFonts w:ascii="Calibri" w:cs="Calibri" w:eastAsia="Calibri" w:hAnsi="Calibri"/>
                <w:color w:val="1E293B"/>
                <w:sz w:val="21"/>
                <w:szCs w:val="21"/>
              </w:rPr>
              <w:t xml:space="preserve">"The ADR and post-production audio industry is facing real pressure to adopt AI-assisted voice tools to meet tightening schedules and budgets. The demand is there, but the infrastructure for consent, chain of custody, and rights management doesn't exist yet. EchoPrint addresses a gap the industry genuinely needs filled."  — Industry advisor, Hollywood post-production</w:t>
            </w:r>
          </w:p>
        </w:tc>
      </w:tr>
    </w:tbl>
    <w:p>
      <w:pPr>
        <w:spacing w:after="0" w:before="80"/>
      </w:pPr>
      <w:r>
        <w:t xml:space="preserve"/>
      </w:r>
    </w:p>
    <w:p>
      <w:pPr>
        <w:pBdr>
          <w:top w:val="single" w:color="DDDDDD" w:sz="4" w:space="8"/>
        </w:pBdr>
        <w:spacing w:before="80"/>
        <w:jc w:val="center"/>
      </w:pPr>
      <w:r>
        <w:rPr>
          <w:rFonts w:ascii="Calibri" w:cs="Calibri" w:eastAsia="Calibri" w:hAnsi="Calibri"/>
          <w:color w:val="64748B"/>
          <w:sz w:val="16"/>
          <w:szCs w:val="16"/>
        </w:rPr>
        <w:t xml:space="preserve">Vaultic Systems Group LLC  ·  chip@vaulticsystemsgroup.com  ·  vaulticsystemsgroup.com  ·  Confidential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2026-05-18T19:18:18.994Z</dcterms:created>
  <dcterms:modified xsi:type="dcterms:W3CDTF">2026-05-18T19:18:18.995Z</dcterms:modified>
</cp:coreProperties>
</file>

<file path=docProps/custom.xml><?xml version="1.0" encoding="utf-8"?>
<Properties xmlns="http://schemas.openxmlformats.org/officeDocument/2006/custom-properties" xmlns:vt="http://schemas.openxmlformats.org/officeDocument/2006/docPropsVTypes"/>
</file>